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Times New Roman" w:cs="Arial"/>
          <w:color w:val="auto"/>
          <w:sz w:val="24"/>
          <w:szCs w:val="20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0"/>
          <w:lang w:val="en-US" w:bidi="ar-SA"/>
        </w:rPr>
      </w:r>
    </w:p>
    <w:p>
      <w:pPr>
        <w:pStyle w:val="Heading1"/>
        <w:numPr>
          <w:ilvl w:val="0"/>
          <w:numId w:val="1"/>
        </w:numPr>
        <w:tabs>
          <w:tab w:val="left" w:pos="0" w:leader="none"/>
        </w:tabs>
        <w:ind w:left="0" w:right="0" w:hanging="0"/>
        <w:rPr/>
      </w:pPr>
      <w:r>
        <w:rPr>
          <w:rFonts w:eastAsia="Times New Roman" w:cs="Times New Roman"/>
          <w:b/>
          <w:bCs/>
          <w:color w:val="auto"/>
          <w:sz w:val="20"/>
          <w:szCs w:val="24"/>
          <w:lang w:val="en-US" w:bidi="ar-SA"/>
        </w:rPr>
        <w:t xml:space="preserve">                                               </w:t>
      </w:r>
      <w:r>
        <w:rPr>
          <w:rFonts w:eastAsia="Times New Roman" w:cs="Times New Roman"/>
          <w:b/>
          <w:bCs/>
          <w:color w:val="auto"/>
          <w:sz w:val="20"/>
          <w:szCs w:val="24"/>
          <w:lang w:val="en-US" w:bidi="ar-SA"/>
        </w:rPr>
        <w:t>CURRICULUM VITAE</w:t>
      </w:r>
    </w:p>
    <w:p>
      <w:pPr>
        <w:pStyle w:val="Normal"/>
        <w:rPr>
          <w:rFonts w:eastAsia="Times New Roman" w:cs="Times New Roman"/>
          <w:b/>
          <w:b/>
          <w:color w:val="auto"/>
          <w:sz w:val="24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4"/>
          <w:szCs w:val="20"/>
          <w:lang w:val="en-US" w:bidi="ar-SA"/>
        </w:rPr>
      </w:r>
    </w:p>
    <w:p>
      <w:pPr>
        <w:pStyle w:val="Normal"/>
        <w:ind w:left="-142" w:right="0" w:hanging="0"/>
        <w:rPr/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 xml:space="preserve">   </w:t>
      </w: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 xml:space="preserve">NAME, LAST NAME                   :   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>David Austin Pierce</w:t>
      </w:r>
    </w:p>
    <w:p>
      <w:pPr>
        <w:pStyle w:val="Normal"/>
        <w:ind w:left="-142" w:right="0" w:hanging="0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/>
      </w:pPr>
      <w:r>
        <w:rPr>
          <w:b/>
        </w:rPr>
        <w:t xml:space="preserve">DATE AND PLACE  OF BIRTH :   </w:t>
      </w:r>
      <w:r>
        <w:rPr/>
        <w:t>1965, Virginia, USA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NATIONALITY                            :</w:t>
      </w:r>
      <w:r>
        <w:rPr/>
        <w:t xml:space="preserve">   USA</w:t>
      </w:r>
    </w:p>
    <w:p>
      <w:pPr>
        <w:pStyle w:val="Normal"/>
        <w:rPr/>
      </w:pPr>
      <w:r>
        <w:rPr/>
      </w:r>
    </w:p>
    <w:p>
      <w:pPr>
        <w:pStyle w:val="Heading6"/>
        <w:numPr>
          <w:ilvl w:val="5"/>
          <w:numId w:val="1"/>
        </w:numPr>
        <w:tabs>
          <w:tab w:val="left" w:pos="0" w:leader="none"/>
        </w:tabs>
        <w:ind w:left="0" w:right="0" w:hanging="0"/>
        <w:rPr>
          <w:rFonts w:eastAsia="Times New Roman" w:cs="Times New Roman"/>
          <w:b/>
          <w:b/>
          <w:bCs/>
          <w:color w:val="auto"/>
          <w:sz w:val="20"/>
          <w:szCs w:val="22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2"/>
          <w:lang w:val="en-US" w:bidi="ar-SA"/>
        </w:rPr>
        <w:t xml:space="preserve">ACADEMIC DEGREES 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/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YÖK Doçentlik :</w:t>
      </w: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 xml:space="preserve"> 29 February 2008</w:t>
      </w:r>
    </w:p>
    <w:p>
      <w:pPr>
        <w:pStyle w:val="TextBody"/>
        <w:rPr/>
      </w:pPr>
      <w:r>
        <w:rPr>
          <w:b/>
        </w:rPr>
        <w:t xml:space="preserve">Ph.D.   :    </w:t>
      </w:r>
      <w:r>
        <w:rPr/>
        <w:t>Mathematics, University of Maryland, USA, 1997</w:t>
      </w:r>
    </w:p>
    <w:p>
      <w:pPr>
        <w:pStyle w:val="Normal"/>
        <w:tabs>
          <w:tab w:val="left" w:pos="3780" w:leader="none"/>
        </w:tabs>
        <w:rPr/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BA    :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 xml:space="preserve">       St John's College, Santa Fe N.M. and Annapolis Md., USA, 1987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Language proficiency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060" w:leader="none"/>
        </w:tabs>
        <w:ind w:left="720" w:right="0" w:hanging="360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Native speaker of English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060" w:leader="none"/>
        </w:tabs>
        <w:ind w:left="720" w:right="0" w:hanging="360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ÜDS score in French: 97.500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060" w:leader="none"/>
        </w:tabs>
        <w:ind w:left="720" w:right="0" w:hanging="360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can teach in Turkish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/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EMPLOYMENT HISTORY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 xml:space="preserve">    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Mimar Sinan Güzel Sanatlar Üniversitesi, İstanbul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Professor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November 2013---present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Associate Professor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December 2011—November 2013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 xml:space="preserve"> 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Middle East Technical University (METU), Ankara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Associate Professor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 xml:space="preserve">December 2010—September 2011 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 xml:space="preserve">  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Assistant Professor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Winter 2000/2001—December 2010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Postdoctoral Fellow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Spring 1999—Spring 2000      McMaster University, Department of  Mathematics and Statistics, Canada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Spring 1998    Mathematical Sciences Research Institute, Berkeley, USA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Visiting Assistant Professor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Fall 1997 University of Illinois at Urbana-Champaign, Department of Mathematics, USA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Lecturer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Fall 1995 University of Maryland, Department of Mathematics, USA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 xml:space="preserve"> </w:t>
      </w:r>
    </w:p>
    <w:p>
      <w:pPr>
        <w:pStyle w:val="Heading1"/>
        <w:numPr>
          <w:ilvl w:val="0"/>
          <w:numId w:val="1"/>
        </w:numPr>
        <w:tabs>
          <w:tab w:val="left" w:pos="0" w:leader="none"/>
          <w:tab w:val="left" w:pos="3780" w:leader="none"/>
        </w:tabs>
        <w:ind w:left="0" w:right="0" w:hanging="0"/>
        <w:rPr>
          <w:rFonts w:eastAsia="Times New Roman" w:cs="Times New Roman"/>
          <w:b/>
          <w:b/>
          <w:bCs/>
          <w:color w:val="auto"/>
          <w:sz w:val="20"/>
          <w:szCs w:val="24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4"/>
          <w:lang w:val="en-US" w:bidi="ar-SA"/>
        </w:rPr>
        <w:t>Teaching Assistant</w:t>
      </w:r>
    </w:p>
    <w:p>
      <w:pPr>
        <w:pStyle w:val="Heading1"/>
        <w:numPr>
          <w:ilvl w:val="0"/>
          <w:numId w:val="1"/>
        </w:numPr>
        <w:tabs>
          <w:tab w:val="left" w:pos="0" w:leader="none"/>
          <w:tab w:val="left" w:pos="3780" w:leader="none"/>
        </w:tabs>
        <w:ind w:left="0" w:right="0" w:hanging="0"/>
        <w:rPr>
          <w:rFonts w:eastAsia="Times New Roman" w:cs="Times New Roman"/>
          <w:b w:val="false"/>
          <w:b w:val="false"/>
          <w:bCs/>
          <w:color w:val="auto"/>
          <w:sz w:val="20"/>
          <w:szCs w:val="24"/>
          <w:lang w:val="en-US" w:bidi="ar-SA"/>
        </w:rPr>
      </w:pPr>
      <w:r>
        <w:rPr>
          <w:rFonts w:eastAsia="Times New Roman" w:cs="Times New Roman"/>
          <w:b w:val="false"/>
          <w:bCs/>
          <w:color w:val="auto"/>
          <w:sz w:val="20"/>
          <w:szCs w:val="24"/>
          <w:lang w:val="en-US" w:bidi="ar-SA"/>
        </w:rPr>
        <w:t>Fall 1989 - Spring 1995 University of Maryland, Department of Mathematics, USA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AREA OF SPECIALIZATION</w:t>
      </w:r>
    </w:p>
    <w:p>
      <w:pPr>
        <w:pStyle w:val="Normal"/>
        <w:rPr/>
      </w:pPr>
      <w:r>
        <w:rPr/>
        <w:t>Model theory</w:t>
      </w:r>
    </w:p>
    <w:p>
      <w:pPr>
        <w:pStyle w:val="Normal"/>
        <w:rPr/>
      </w:pPr>
      <w:r>
        <w:rPr/>
        <w:t>Model Theory of Fields</w:t>
      </w:r>
    </w:p>
    <w:p>
      <w:pPr>
        <w:pStyle w:val="Normal"/>
        <w:rPr/>
      </w:pPr>
      <w:r>
        <w:rPr/>
        <w:t>Differential Fields</w:t>
      </w:r>
    </w:p>
    <w:p>
      <w:pPr>
        <w:pStyle w:val="Normal"/>
        <w:rPr/>
      </w:pPr>
      <w:r>
        <w:rPr/>
        <w:t>Function Fields</w:t>
      </w:r>
    </w:p>
    <w:p>
      <w:pPr>
        <w:pStyle w:val="Normal"/>
        <w:rPr/>
      </w:pPr>
      <w:r>
        <w:rPr/>
        <w:t>Mathematical history and philosophy</w:t>
      </w:r>
    </w:p>
    <w:p>
      <w:pPr>
        <w:pStyle w:val="Normal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Heading1"/>
        <w:numPr>
          <w:ilvl w:val="0"/>
          <w:numId w:val="1"/>
        </w:numPr>
        <w:tabs>
          <w:tab w:val="left" w:pos="0" w:leader="none"/>
          <w:tab w:val="left" w:pos="3780" w:leader="none"/>
        </w:tabs>
        <w:ind w:left="0" w:right="0" w:hanging="0"/>
        <w:rPr>
          <w:rFonts w:eastAsia="Times New Roman" w:cs="Times New Roman"/>
          <w:b/>
          <w:b/>
          <w:bCs/>
          <w:color w:val="auto"/>
          <w:sz w:val="20"/>
          <w:szCs w:val="24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4"/>
          <w:lang w:val="en-US" w:bidi="ar-SA"/>
        </w:rPr>
        <w:t>MEMBERSHIP IN PROFESSIONAL ORGANIZATIONS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American Mathematical Society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PUBLICATIONS</w:t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tabs>
          <w:tab w:val="left" w:pos="3780" w:leader="none"/>
        </w:tabs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 xml:space="preserve">Ph.D. Dissertation </w:t>
      </w:r>
    </w:p>
    <w:p>
      <w:pPr>
        <w:pStyle w:val="Normal"/>
        <w:tabs>
          <w:tab w:val="left" w:pos="3780" w:leader="none"/>
        </w:tabs>
        <w:rPr/>
      </w:pPr>
      <w:r>
        <w:rPr>
          <w:rFonts w:eastAsia="Times New Roman" w:cs="Times New Roman"/>
          <w:i/>
          <w:color w:val="auto"/>
          <w:sz w:val="20"/>
          <w:szCs w:val="20"/>
          <w:lang w:val="en-US" w:bidi="ar-SA"/>
        </w:rPr>
        <w:t>On the Model Theory of Function Fields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>, 1997</w:t>
      </w:r>
    </w:p>
    <w:p>
      <w:pPr>
        <w:pStyle w:val="Normal"/>
        <w:tabs>
          <w:tab w:val="left" w:pos="3780" w:leader="none"/>
        </w:tabs>
        <w:jc w:val="left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Supervisor: Chris Laskowski (University of Maryland)</w:t>
      </w:r>
    </w:p>
    <w:p>
      <w:pPr>
        <w:pStyle w:val="Normal"/>
        <w:jc w:val="left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Research Articles / Refereed Conference Proceedings</w:t>
      </w:r>
    </w:p>
    <w:p>
      <w:pPr>
        <w:pStyle w:val="Normal"/>
        <w:jc w:val="left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/>
      </w:pPr>
      <w:r>
        <w:rPr/>
        <w:t xml:space="preserve">       </w:t>
      </w:r>
      <w:r>
        <w:rPr/>
        <w:t xml:space="preserve">1.   A note on the axioms for differentially closed fields of characteristic zero. With Anand Pillay. </w:t>
      </w:r>
      <w:r>
        <w:rPr>
          <w:i/>
        </w:rPr>
        <w:t>Journal of Algebra</w:t>
      </w:r>
      <w:r>
        <w:rPr/>
        <w:t xml:space="preserve"> </w:t>
      </w:r>
      <w:r>
        <w:rPr>
          <w:b/>
        </w:rPr>
        <w:t>204</w:t>
      </w:r>
      <w:r>
        <w:rPr/>
        <w:t>, 108-115 (1998).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jc w:val="left"/>
        <w:rPr/>
      </w:pPr>
      <w:r>
        <w:rPr/>
        <w:t xml:space="preserve">Function fields and elementary equivalence. </w:t>
      </w:r>
      <w:r>
        <w:rPr>
          <w:rStyle w:val="Emphasis"/>
        </w:rPr>
        <w:t>Bull. London Math. Soc.</w:t>
      </w:r>
      <w:r>
        <w:rPr/>
        <w:t xml:space="preserve"> </w:t>
      </w:r>
      <w:r>
        <w:rPr>
          <w:rStyle w:val="StrongEmphasis"/>
        </w:rPr>
        <w:t xml:space="preserve">31 </w:t>
      </w:r>
      <w:r>
        <w:rPr/>
        <w:t>(1999), no. 4, 431--440.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4"/>
        </w:numPr>
        <w:jc w:val="left"/>
        <w:rPr/>
      </w:pPr>
      <w:r>
        <w:rPr/>
        <w:t xml:space="preserve">Differential forms in the model theory of differential fields. </w:t>
      </w:r>
      <w:r>
        <w:rPr>
          <w:rStyle w:val="Emphasis"/>
        </w:rPr>
        <w:t>J. Symbolic Logic</w:t>
      </w:r>
      <w:r>
        <w:rPr/>
        <w:t xml:space="preserve"> </w:t>
      </w:r>
      <w:r>
        <w:rPr>
          <w:rStyle w:val="StrongEmphasis"/>
        </w:rPr>
        <w:t xml:space="preserve">68 </w:t>
      </w:r>
      <w:r>
        <w:rPr/>
        <w:t>(2003), no. 3, 923—945.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5"/>
        </w:numPr>
        <w:jc w:val="left"/>
        <w:rPr/>
      </w:pPr>
      <w:r>
        <w:rPr/>
        <w:t xml:space="preserve">Geometric characterizations of existentially closed fields with operators. </w:t>
      </w:r>
      <w:r>
        <w:rPr>
          <w:rStyle w:val="Emphasis"/>
        </w:rPr>
        <w:t>Illinois J. Math.</w:t>
      </w:r>
      <w:r>
        <w:rPr/>
        <w:t xml:space="preserve"> </w:t>
      </w:r>
      <w:r>
        <w:rPr>
          <w:rStyle w:val="StrongEmphasis"/>
        </w:rPr>
        <w:t xml:space="preserve">48 </w:t>
      </w:r>
      <w:r>
        <w:rPr/>
        <w:t>(2004), no. 4, 1321--1343.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5"/>
        </w:numPr>
        <w:jc w:val="left"/>
        <w:rPr/>
      </w:pPr>
      <w:r>
        <w:rPr/>
        <w:t xml:space="preserve">Model-theory of vector-spaces over unspecified fields.  </w:t>
      </w:r>
      <w:r>
        <w:rPr>
          <w:i/>
          <w:iCs/>
        </w:rPr>
        <w:t xml:space="preserve">Archive for Mathematical Logic </w:t>
      </w:r>
      <w:r>
        <w:rPr>
          <w:b/>
          <w:bCs/>
          <w:i w:val="false"/>
          <w:iCs w:val="false"/>
        </w:rPr>
        <w:t>48</w:t>
      </w:r>
      <w:r>
        <w:rPr>
          <w:b w:val="false"/>
          <w:bCs w:val="false"/>
          <w:i w:val="false"/>
          <w:iCs w:val="false"/>
        </w:rPr>
        <w:t xml:space="preserve"> (2009), no. 5, 421--436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Induction and Recursion. 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 xml:space="preserve">De Morgan Journal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 xml:space="preserve">2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no. 1 (2012), 99-125.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Fields with several commuting derivations. 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>Journal of Symbolic Logic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>79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(2014), no. 1, 1--19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Numbers.  </w:t>
      </w:r>
      <w:hyperlink r:id="rId2">
        <w:r>
          <w:rPr>
            <w:rStyle w:val="InternetLink"/>
          </w:rPr>
          <w:t>http://arxiv.org/abs/1104.5311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u w:val="none"/>
          <w:lang w:val="en-US" w:bidi="ar-SA"/>
        </w:rPr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numPr>
          <w:ilvl w:val="0"/>
          <w:numId w:val="6"/>
        </w:numPr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Abscissas and Ordinates. 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>Journal of Humanistic Mathematics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(2015), no. 1, 223-264.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u w:val="none"/>
          <w:lang w:val="en-US" w:bidi="ar-SA"/>
        </w:rPr>
      </w:r>
    </w:p>
    <w:p>
      <w:pPr>
        <w:pStyle w:val="Heading1"/>
        <w:numPr>
          <w:ilvl w:val="0"/>
          <w:numId w:val="6"/>
        </w:numPr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Chains of Theories and Companionability.  With Özcan Kasal.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>Proceedings of the American Mathematical Society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>143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(2015), 4937-4949</w:t>
      </w:r>
    </w:p>
    <w:p>
      <w:pPr>
        <w:pStyle w:val="Normal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Heading1"/>
        <w:numPr>
          <w:ilvl w:val="0"/>
          <w:numId w:val="6"/>
        </w:numPr>
        <w:jc w:val="left"/>
        <w:rPr/>
      </w:pP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 xml:space="preserve">The Foundations of Arithmetic in Euclid.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140 pp. </w:t>
      </w:r>
      <w:hyperlink r:id="rId3">
        <w:r>
          <w:rPr>
            <w:rStyle w:val="InternetLink"/>
          </w:rPr>
          <w:t>http://mat.msgsu.edu.tr/~dpierce/Mathematics/Euclid/</w:t>
        </w:r>
      </w:hyperlink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6"/>
        </w:numPr>
        <w:jc w:val="left"/>
        <w:rPr/>
      </w:pPr>
      <w:r>
        <w:rPr/>
        <w:t xml:space="preserve">Thales and the Nine-point Conic, </w:t>
      </w:r>
      <w:r>
        <w:rPr>
          <w:rStyle w:val="Emphasis"/>
        </w:rPr>
        <w:t>The De Morgan Gazette</w:t>
      </w:r>
      <w:r>
        <w:rPr/>
        <w:t xml:space="preserve"> </w:t>
      </w:r>
      <w:r>
        <w:rPr>
          <w:rStyle w:val="StrongEmphasis"/>
        </w:rPr>
        <w:t>8</w:t>
      </w:r>
      <w:r>
        <w:rPr/>
        <w:t xml:space="preserve"> no. 4 (2016), </w:t>
      </w:r>
      <w:r>
        <w:rPr/>
        <w:t>27-78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6"/>
        </w:numPr>
        <w:jc w:val="left"/>
        <w:rPr/>
      </w:pPr>
      <w:r>
        <w:rPr/>
        <w:t xml:space="preserve">Commensurability and Symmetry.  </w:t>
      </w:r>
      <w:r>
        <w:rPr>
          <w:rStyle w:val="Emphasis"/>
        </w:rPr>
        <w:t>Journal of Humanistic Mathematics,</w:t>
      </w:r>
      <w:r>
        <w:rPr/>
        <w:t xml:space="preserve"> Volume </w:t>
      </w:r>
      <w:r>
        <w:rPr>
          <w:rStyle w:val="StrongEmphasis"/>
        </w:rPr>
        <w:t>7,</w:t>
      </w:r>
      <w:r>
        <w:rPr/>
        <w:t xml:space="preserve"> Issue 2 (July 2017), 90-148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6"/>
        </w:numPr>
        <w:jc w:val="left"/>
        <w:rPr/>
      </w:pPr>
      <w:r>
        <w:rPr/>
        <w:t>Model Theory of Group Actions.  With Ayşe Berkman.  In preparation.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6"/>
        </w:numPr>
        <w:jc w:val="left"/>
        <w:rPr/>
      </w:pPr>
      <w:r>
        <w:rPr/>
        <w:t>Fields With Automorphism and Valuation.  With Özlem Beyarslan, Daniel Max Hoffmann, and Gönenç Onay.  In preparation.</w:t>
      </w:r>
    </w:p>
    <w:p>
      <w:pPr>
        <w:pStyle w:val="Normal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/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 xml:space="preserve">Citations by other authors: </w:t>
      </w: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3</w:t>
      </w: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8</w:t>
      </w:r>
    </w:p>
    <w:p>
      <w:pPr>
        <w:pStyle w:val="Normal"/>
        <w:jc w:val="left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Article on education</w:t>
      </w:r>
    </w:p>
    <w:p>
      <w:pPr>
        <w:pStyle w:val="Normal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numPr>
          <w:ilvl w:val="0"/>
          <w:numId w:val="7"/>
        </w:numPr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St John's College. 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>De Morgan Journal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no. 2 (2012), 63-73.</w:t>
      </w:r>
    </w:p>
    <w:p>
      <w:pPr>
        <w:pStyle w:val="Normal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bCs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>Course notes</w:t>
      </w:r>
    </w:p>
    <w:p>
      <w:pPr>
        <w:pStyle w:val="Normal"/>
        <w:jc w:val="left"/>
        <w:rPr>
          <w:rFonts w:eastAsia="Times New Roman" w:cs="Times New Roman"/>
          <w:b/>
          <w:b/>
          <w:bCs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bCs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 xml:space="preserve">   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0"/>
          <w:szCs w:val="20"/>
          <w:lang w:val="en-US" w:bidi="ar-SA"/>
        </w:rPr>
        <w:t>English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Foundations of Mathematical Practice.  2010.  236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Minimalist Set Theory.  2011.  166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Elementary Number Theory.  2012.  196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Recursion and Induction:  Notes on Mathematical Logic and Model Theory.  2008.  109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Groups and Rings.  2015.  248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Ultraproducts.  2014.  263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Infinitesimal Analysis.  2015.  40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The Cantor Set. 2017.  35 pages.</w:t>
      </w:r>
    </w:p>
    <w:p>
      <w:pPr>
        <w:pStyle w:val="Normal"/>
        <w:numPr>
          <w:ilvl w:val="0"/>
          <w:numId w:val="8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Finite Fields. 2017.  27 pages.</w:t>
      </w:r>
    </w:p>
    <w:p>
      <w:pPr>
        <w:pStyle w:val="Normal"/>
        <w:jc w:val="left"/>
        <w:rPr>
          <w:rFonts w:eastAsia="Times New Roman" w:cs="Times New Roman"/>
          <w:b/>
          <w:b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jc w:val="left"/>
        <w:rPr>
          <w:rFonts w:eastAsia="Times New Roman" w:cs="Times New Roman"/>
          <w:b/>
          <w:b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    </w:t>
      </w:r>
      <w:r>
        <w:rPr>
          <w:rFonts w:eastAsia="Times New Roman" w:cs="Times New Roman"/>
          <w:b/>
          <w:bCs w:val="false"/>
          <w:i w:val="false"/>
          <w:iCs w:val="false"/>
          <w:color w:val="auto"/>
          <w:sz w:val="20"/>
          <w:szCs w:val="20"/>
          <w:lang w:val="en-US" w:bidi="ar-SA"/>
        </w:rPr>
        <w:t>Turkish</w:t>
      </w:r>
    </w:p>
    <w:p>
      <w:pPr>
        <w:pStyle w:val="Normal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9"/>
        </w:numPr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Öklid'in </w:t>
      </w:r>
      <w:r>
        <w:rPr>
          <w:b w:val="false"/>
          <w:bCs w:val="false"/>
          <w:i/>
          <w:iCs/>
          <w:sz w:val="20"/>
          <w:szCs w:val="20"/>
        </w:rPr>
        <w:t>Öğeleri'</w:t>
      </w:r>
      <w:r>
        <w:rPr>
          <w:b w:val="false"/>
          <w:bCs w:val="false"/>
          <w:i w:val="false"/>
          <w:iCs w:val="false"/>
          <w:sz w:val="20"/>
          <w:szCs w:val="20"/>
        </w:rPr>
        <w:t>nin Birinci Kitabı.  Özer Öztürk ile çeviri.  2011-14.</w:t>
      </w:r>
    </w:p>
    <w:p>
      <w:pPr>
        <w:pStyle w:val="Normal"/>
        <w:numPr>
          <w:ilvl w:val="0"/>
          <w:numId w:val="9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Öklid Alıştırmaları.  2014.  58 sayfa.</w:t>
      </w:r>
    </w:p>
    <w:p>
      <w:pPr>
        <w:pStyle w:val="Normal"/>
        <w:numPr>
          <w:ilvl w:val="0"/>
          <w:numId w:val="9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Önermeler Mantığı.  2014.  64 sayfa.</w:t>
      </w:r>
    </w:p>
    <w:p>
      <w:pPr>
        <w:pStyle w:val="Normal"/>
        <w:numPr>
          <w:ilvl w:val="0"/>
          <w:numId w:val="9"/>
        </w:numPr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Kümeler Kuramı.  2014.  150 sayfa.</w:t>
      </w:r>
    </w:p>
    <w:p>
      <w:pPr>
        <w:pStyle w:val="Normal"/>
        <w:numPr>
          <w:ilvl w:val="0"/>
          <w:numId w:val="9"/>
        </w:numPr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Modeller Kuramına Giriş.  2015.  54 sayfa.</w:t>
      </w:r>
    </w:p>
    <w:p>
      <w:pPr>
        <w:pStyle w:val="Normal"/>
        <w:numPr>
          <w:ilvl w:val="0"/>
          <w:numId w:val="9"/>
        </w:numPr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Style w:val="Emphasis"/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Analitik Geometri Özeti. </w:t>
      </w:r>
      <w:r>
        <w:rPr>
          <w:rStyle w:val="Emphasis"/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2015. 57 sayfa.</w:t>
      </w:r>
    </w:p>
    <w:p>
      <w:pPr>
        <w:pStyle w:val="Normal"/>
        <w:numPr>
          <w:ilvl w:val="0"/>
          <w:numId w:val="9"/>
        </w:numPr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İskenderiyeli Pappus'un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>Toplama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 xml:space="preserve">'sının Yedinci Kıtabında Öklid'in 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0"/>
          <w:szCs w:val="20"/>
          <w:lang w:val="en-US" w:bidi="ar-SA"/>
        </w:rPr>
        <w:t>Porizmalar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'ı İçin 38 lemmadan İlk 19 lemma (giriş ve çeviri).  2016.  64 sayfa.</w:t>
      </w:r>
    </w:p>
    <w:p>
      <w:pPr>
        <w:pStyle w:val="Normal"/>
        <w:jc w:val="left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INTERNATIONAL CONFERENCE PARTICIPATION</w:t>
      </w:r>
    </w:p>
    <w:p>
      <w:pPr>
        <w:pStyle w:val="Normal"/>
        <w:ind w:left="105" w:right="0" w:hanging="0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Title of the Talk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November 1997: AMS meeting, Milwaukee, USA: "Axioms for differentially closed</w:t>
      </w:r>
    </w:p>
    <w:p>
      <w:pPr>
        <w:pStyle w:val="Normal"/>
        <w:rPr/>
      </w:pPr>
      <w:r>
        <w:rPr/>
        <w:t>fields" (invited)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1999: Barcelona Logic Meeting, Barcelona, Spain:  "Model-completion of fields with</w:t>
      </w:r>
    </w:p>
    <w:p>
      <w:pPr>
        <w:pStyle w:val="Normal"/>
        <w:rPr/>
      </w:pPr>
      <w:r>
        <w:rPr/>
        <w:t>several commuting derivations"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2000: Math 2000 meeting, Hamilton, Canada:  "Differential geometry in</w:t>
      </w:r>
    </w:p>
    <w:p>
      <w:pPr>
        <w:pStyle w:val="Normal"/>
        <w:rPr/>
      </w:pPr>
      <w:r>
        <w:rPr/>
        <w:t>model theory" (invited)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2000: Logic Colloquium 2000, Paris, France:  “Model-theoretic differential geometry”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2001: Antalya Algebra Days III, Antalya, Turkey: “Differential forms in model theory”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2001: Joint AMS-SMF meeting, Lyon, France: “Differential forms in model-theory”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2003: Antalya Algebra Days V, Antalya, Turkey: “On the model-theory of Lie-rings”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2003: Logic Colloquium 2003, Helsinki, Finland: “Fields with operators, and Lie-rings”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2004: Logic Colloquium 2004, Turin, Italy: “Fields of any characteristic with operators”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2005: Antalya Algebra Days VII, Antalya, Turkey: “Differential fields of arbitrary characteristic”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2005: Logic Colloquium 2005, Athens, Greece: “Lie-rings”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2006: Logic Colloquium 2006, Nijmegen, the Netherlands: “Vector-spaces over unspecified fields”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November 2006: MODNET Midterm Conference, Antalya: “Differential fields”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2008: Logic Colloquium 2008, Bern, Switzerland: “Induction and recursion”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2009: Logicum Urbanae Lugduni, Lyon, France: “Interacting rings” (invited)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2009: Connecticut Logic Seminar: “Fields with several derivations”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2009: Conference in honour of Oleg Belegradek, Istanbul: “Interacting rings” (invited)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2012: 43rd Iranian Mathematics Conference, Tabriz, Iran: “Model-theory of differential fields”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2014: Caucasian Mathematics Meeting, Tbilisi, Georgia: “Compactness”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2015: 5th World Congress and School on Universal Logic, Istanbul: “Compactness” (a course of three lectures; invited)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July 2017: </w:t>
      </w:r>
      <w:r>
        <w:rPr/>
        <w:t>11th Panhellenic Logic Symposium: “A Method for Companionability, Applied to Group Actions and Valuations”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Only Participated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August 1996: NATO ASI Meeting on Model Theory at Toronto, Canada</w:t>
      </w:r>
    </w:p>
    <w:p>
      <w:pPr>
        <w:pStyle w:val="Normal"/>
        <w:rPr/>
      </w:pPr>
      <w:r>
        <w:rPr/>
        <w:t>Fall 1996: Workshop on Algebraic Model Theory, Toronto, Canada</w:t>
      </w:r>
    </w:p>
    <w:p>
      <w:pPr>
        <w:pStyle w:val="Normal"/>
        <w:rPr/>
      </w:pPr>
      <w:r>
        <w:rPr/>
        <w:t>February 1998:</w:t>
      </w:r>
      <w:r>
        <w:rPr>
          <w:b/>
        </w:rPr>
        <w:t xml:space="preserve"> </w:t>
      </w:r>
      <w:r>
        <w:rPr/>
        <w:t>Model Theory of Fields, MSRI, Berkeley, USA</w:t>
      </w:r>
    </w:p>
    <w:p>
      <w:pPr>
        <w:pStyle w:val="Heading7"/>
        <w:numPr>
          <w:ilvl w:val="6"/>
          <w:numId w:val="1"/>
        </w:numPr>
        <w:tabs>
          <w:tab w:val="left" w:pos="0" w:leader="none"/>
        </w:tabs>
        <w:ind w:left="0" w:right="0" w:hanging="0"/>
        <w:rPr>
          <w:rFonts w:eastAsia="Times New Roman" w:cs="Times New Roman"/>
          <w:b w:val="false"/>
          <w:b w:val="false"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/>
          <w:color w:val="auto"/>
          <w:sz w:val="20"/>
          <w:szCs w:val="20"/>
          <w:lang w:val="en-US" w:bidi="ar-SA"/>
        </w:rPr>
        <w:t>November 1999: Model Theory and Number Theory Workshop, Urbana, Illinois, USA</w:t>
      </w:r>
    </w:p>
    <w:p>
      <w:pPr>
        <w:pStyle w:val="Heading7"/>
        <w:numPr>
          <w:ilvl w:val="6"/>
          <w:numId w:val="1"/>
        </w:numPr>
        <w:tabs>
          <w:tab w:val="left" w:pos="0" w:leader="none"/>
        </w:tabs>
        <w:ind w:left="0" w:right="0" w:hanging="0"/>
        <w:rPr/>
      </w:pPr>
      <w:r>
        <w:rPr>
          <w:rFonts w:eastAsia="Times New Roman" w:cs="Times New Roman"/>
          <w:b w:val="false"/>
          <w:bCs/>
          <w:color w:val="auto"/>
          <w:sz w:val="20"/>
          <w:szCs w:val="20"/>
          <w:lang w:val="en-US" w:bidi="ar-SA"/>
        </w:rPr>
        <w:t>November 1999: Workshop on Hilbert’s 10</w:t>
      </w:r>
      <w:r>
        <w:rPr>
          <w:rFonts w:eastAsia="Times New Roman" w:cs="Times New Roman"/>
          <w:b w:val="false"/>
          <w:bCs/>
          <w:color w:val="auto"/>
          <w:sz w:val="20"/>
          <w:szCs w:val="20"/>
          <w:vertAlign w:val="superscript"/>
          <w:lang w:val="en-US" w:bidi="ar-SA"/>
        </w:rPr>
        <w:t>th</w:t>
      </w:r>
      <w:r>
        <w:rPr>
          <w:rFonts w:eastAsia="Times New Roman" w:cs="Times New Roman"/>
          <w:b w:val="false"/>
          <w:bCs/>
          <w:color w:val="auto"/>
          <w:sz w:val="20"/>
          <w:szCs w:val="20"/>
          <w:lang w:val="en-US" w:bidi="ar-SA"/>
        </w:rPr>
        <w:t xml:space="preserve"> Problem, Ghent, Belgium</w:t>
      </w:r>
    </w:p>
    <w:p>
      <w:pPr>
        <w:pStyle w:val="Normal"/>
        <w:tabs>
          <w:tab w:val="left" w:pos="0" w:leader="none"/>
        </w:tabs>
        <w:rPr>
          <w:rFonts w:eastAsia="Times New Roman" w:cs="Times New Roman"/>
          <w:b w:val="false"/>
          <w:b w:val="false"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/>
          <w:color w:val="auto"/>
          <w:sz w:val="20"/>
          <w:szCs w:val="20"/>
          <w:lang w:val="en-US" w:bidi="ar-SA"/>
        </w:rPr>
        <w:t>May 2002: Euro-Conference on Model Theory and Applications, Ravello, Italy</w:t>
      </w:r>
    </w:p>
    <w:p>
      <w:pPr>
        <w:pStyle w:val="Normal"/>
        <w:tabs>
          <w:tab w:val="left" w:pos="0" w:leader="none"/>
        </w:tabs>
        <w:rPr>
          <w:rFonts w:eastAsia="Times New Roman" w:cs="Times New Roman"/>
          <w:b w:val="false"/>
          <w:b w:val="false"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/>
          <w:color w:val="auto"/>
          <w:sz w:val="20"/>
          <w:szCs w:val="20"/>
          <w:lang w:val="en-US" w:bidi="ar-SA"/>
        </w:rPr>
        <w:t>June, 2007: Differential Fields Workshop, Leeds, UK</w:t>
      </w:r>
    </w:p>
    <w:p>
      <w:pPr>
        <w:pStyle w:val="Normal"/>
        <w:rPr/>
      </w:pPr>
      <w:r>
        <w:rPr/>
        <w:t>July 2007: Panhellenic Logic Symposium, Volos, Greece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November 2008: final MODNET meeting, Barcelona, Spain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June, 2009: Groups and Models: Cherlin Bayramı, Istanbul, Turkey</w:t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 xml:space="preserve">June 2011: </w:t>
      </w:r>
      <w:r>
        <w:rPr/>
        <w:t>Recent Developments in Model Theory, Oléron, France</w:t>
      </w:r>
    </w:p>
    <w:p>
      <w:pPr>
        <w:pStyle w:val="Normal"/>
        <w:rPr/>
      </w:pPr>
      <w:r>
        <w:rPr/>
        <w:t>August 2012: Algebra, Combinatorics and Model Theory, Istanbul</w:t>
      </w:r>
    </w:p>
    <w:p>
      <w:pPr>
        <w:pStyle w:val="Normal"/>
        <w:rPr/>
      </w:pPr>
      <w:r>
        <w:rPr/>
        <w:t>November 2012: Model theory of groups (interactions between model theory and</w:t>
        <w:br/>
        <w:t>geometrical group theory), Centre Internationale de Rencontres Mathematiques, Marseille, France</w:t>
      </w:r>
    </w:p>
    <w:p>
      <w:pPr>
        <w:pStyle w:val="Normal"/>
        <w:rPr/>
      </w:pPr>
      <w:r>
        <w:rPr/>
        <w:t>May 2014:  Summer School Around Valuation Theory, Şirince, Turkey</w:t>
      </w:r>
    </w:p>
    <w:p>
      <w:pPr>
        <w:pStyle w:val="Normal"/>
        <w:rPr/>
      </w:pPr>
      <w:r>
        <w:rPr/>
        <w:t xml:space="preserve">June 2015: Growth, Symbolic Dynamics and Combinatorics of Words in Groups, École normale supérieure, Paris, France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NATIONAL CONFERENCES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Ulusal Matematik Sempozyumu: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September 2000: “Differential geometry in model theory”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September 2002: “Theories of fields with operators”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September 2003: “Existentially closed expansions of fields”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0"/>
          <w:szCs w:val="20"/>
          <w:lang w:val="en-US" w:bidi="ar-SA"/>
        </w:rPr>
        <w:t>September 2013: “Teori Zincirleri”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PROJECTS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European Union FP6 Marie Curie Research Training Network: Model Theory and Applications Network (MODNET), Researcher: January 2005—December 2008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 xml:space="preserve">Research group: </w:t>
      </w:r>
      <w:r>
        <w:rPr/>
        <w:t>The model theory of fields with operators.  Nesin Matematik Köyü, Şirince, Selçuk, İzmir, July 1—8, 2016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NEW COURSES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At MSGSÜ: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 xml:space="preserve">MAT 113 (Introduction to Euclidean Geometry: </w:t>
      </w:r>
      <w:r>
        <w:rPr/>
        <w:t>Öklid Geometrisine Giriş)</w:t>
      </w:r>
    </w:p>
    <w:p>
      <w:pPr>
        <w:pStyle w:val="Normal"/>
        <w:rPr/>
      </w:pPr>
      <w:r>
        <w:rPr/>
        <w:t>MAT 340 (Axiomatic Set Theory: Aksiyomatik Kümeler Kuramı)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At METU: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Math 736 (Basic Model Theory)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Math 746 (Model Theory II)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CONTRIBUTIONS TO MATHEMATICAL COMMUNUTY</w:t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Refereeing</w:t>
      </w:r>
    </w:p>
    <w:p>
      <w:pPr>
        <w:pStyle w:val="Normal"/>
        <w:rPr/>
      </w:pPr>
      <w:r>
        <w:rPr/>
        <w:t>Internet Encyclopedia of Philosophy</w:t>
      </w:r>
    </w:p>
    <w:p>
      <w:pPr>
        <w:pStyle w:val="Normal"/>
        <w:rPr/>
      </w:pPr>
      <w:r>
        <w:rPr/>
        <w:t>Journal of Symbolic Logic</w:t>
      </w:r>
    </w:p>
    <w:p>
      <w:pPr>
        <w:pStyle w:val="Normal"/>
        <w:rPr/>
      </w:pPr>
      <w:r>
        <w:rPr/>
        <w:t>Archive for Mathematical Logic</w:t>
      </w:r>
    </w:p>
    <w:p>
      <w:pPr>
        <w:pStyle w:val="Normal"/>
        <w:rPr/>
      </w:pPr>
      <w:r>
        <w:rPr/>
        <w:t>Annals of Pure and Applied Logic</w:t>
      </w:r>
    </w:p>
    <w:p>
      <w:pPr>
        <w:pStyle w:val="Normal"/>
        <w:rPr/>
      </w:pPr>
      <w:r>
        <w:rPr/>
        <w:t>London Mathematical Society</w:t>
      </w:r>
    </w:p>
    <w:p>
      <w:pPr>
        <w:pStyle w:val="Normal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Logic Journal of the Interest Group in Pure and Applied Logics</w:t>
      </w:r>
    </w:p>
    <w:p>
      <w:pPr>
        <w:pStyle w:val="Normal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  <w:t>Turkish Journal of Mathematics</w:t>
      </w:r>
    </w:p>
    <w:p>
      <w:pPr>
        <w:pStyle w:val="Normal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Reviewing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Mathematical Reviews (MathSciNet)</w:t>
      </w:r>
    </w:p>
    <w:p>
      <w:pPr>
        <w:pStyle w:val="Normal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p>
      <w:pPr>
        <w:pStyle w:val="Heading2"/>
        <w:numPr>
          <w:ilvl w:val="1"/>
          <w:numId w:val="1"/>
        </w:numPr>
        <w:tabs>
          <w:tab w:val="left" w:pos="0" w:leader="none"/>
          <w:tab w:val="left" w:pos="4860" w:leader="none"/>
        </w:tabs>
        <w:ind w:left="8" w:right="0" w:hanging="0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Conference organization</w:t>
      </w:r>
    </w:p>
    <w:p>
      <w:pPr>
        <w:pStyle w:val="Heading2"/>
        <w:numPr>
          <w:ilvl w:val="1"/>
          <w:numId w:val="1"/>
        </w:numPr>
        <w:tabs>
          <w:tab w:val="left" w:pos="0" w:leader="none"/>
          <w:tab w:val="left" w:pos="4860" w:leader="none"/>
        </w:tabs>
        <w:ind w:left="8" w:right="0" w:hanging="0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</w:r>
    </w:p>
    <w:p>
      <w:pPr>
        <w:pStyle w:val="Heading2"/>
        <w:numPr>
          <w:ilvl w:val="1"/>
          <w:numId w:val="1"/>
        </w:numPr>
        <w:tabs>
          <w:tab w:val="left" w:pos="0" w:leader="none"/>
          <w:tab w:val="left" w:pos="361" w:leader="none"/>
          <w:tab w:val="left" w:pos="4860" w:leader="none"/>
        </w:tabs>
        <w:ind w:left="-8" w:right="0" w:hanging="0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Antalya Algebra Days, 2003—12, 2014--2016</w:t>
      </w:r>
    </w:p>
    <w:p>
      <w:pPr>
        <w:pStyle w:val="Heading2"/>
        <w:numPr>
          <w:ilvl w:val="1"/>
          <w:numId w:val="1"/>
        </w:numPr>
        <w:tabs>
          <w:tab w:val="left" w:pos="0" w:leader="none"/>
          <w:tab w:val="left" w:pos="4860" w:leader="none"/>
        </w:tabs>
        <w:ind w:left="360" w:right="0" w:hanging="0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Heading2"/>
        <w:numPr>
          <w:ilvl w:val="1"/>
          <w:numId w:val="1"/>
        </w:numPr>
        <w:tabs>
          <w:tab w:val="left" w:pos="0" w:leader="none"/>
          <w:tab w:val="left" w:pos="4860" w:leader="none"/>
        </w:tabs>
        <w:ind w:left="8" w:right="0" w:hanging="0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Groups and Models: Cherlin Bayramı, İstanbul,  June 2009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Midterm conference of MODNET (Research training network in model theory), Antalya, November 2006</w:t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Teaching</w:t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Turkish Mathematical Society Summer School, Nesin Mathematics Village, 2008—</w:t>
      </w: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>present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  <w:t>Popular talk</w:t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en-US" w:bidi="ar-SA"/>
        </w:rPr>
        <w:t xml:space="preserve">Thales Kanıt Kavramı Öncüsü Olarak, </w:t>
      </w:r>
      <w:r>
        <w:rPr/>
        <w:t xml:space="preserve">Thales Buluşması, </w:t>
      </w:r>
      <w:r>
        <w:rPr/>
        <w:t>Didim, 24 Eylül 2016</w:t>
      </w:r>
    </w:p>
    <w:p>
      <w:pPr>
        <w:pStyle w:val="Normal"/>
        <w:rPr>
          <w:rFonts w:eastAsia="Times New Roman" w:cs="Times New Roman"/>
          <w:b/>
          <w:b/>
          <w:bCs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bCs/>
          <w:color w:val="auto"/>
          <w:sz w:val="20"/>
          <w:szCs w:val="20"/>
          <w:lang w:val="en-US" w:bidi="ar-SA"/>
        </w:rPr>
      </w:r>
    </w:p>
    <w:p>
      <w:pPr>
        <w:pStyle w:val="Normal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>GRADUATE STUDENT SUPERVISION</w:t>
      </w:r>
    </w:p>
    <w:p>
      <w:pPr>
        <w:pStyle w:val="Normal"/>
        <w:ind w:left="105" w:right="0" w:hanging="0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/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  <w:t xml:space="preserve">Ph.D.   </w:t>
      </w:r>
      <w:r>
        <w:rPr>
          <w:rFonts w:eastAsia="Times New Roman" w:cs="Times New Roman"/>
          <w:color w:val="auto"/>
          <w:sz w:val="20"/>
          <w:szCs w:val="20"/>
          <w:lang w:val="en-US" w:bidi="ar-SA"/>
        </w:rPr>
        <w:t>Özcan Kasal “Model theory of derivation spaces”, 2010, METU</w:t>
      </w:r>
    </w:p>
    <w:p>
      <w:pPr>
        <w:pStyle w:val="Normal"/>
        <w:ind w:left="105" w:right="0" w:hanging="0"/>
        <w:rPr>
          <w:rFonts w:eastAsia="Times New Roman" w:cs="Times New Roman"/>
          <w:b/>
          <w:b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val="en-US" w:bidi="ar-SA"/>
        </w:rPr>
      </w:r>
    </w:p>
    <w:p>
      <w:pPr>
        <w:pStyle w:val="Normal"/>
        <w:rPr/>
      </w:pPr>
      <w:r>
        <w:rPr>
          <w:b/>
        </w:rPr>
        <w:t xml:space="preserve">M.S.   </w:t>
      </w:r>
      <w:r>
        <w:rPr>
          <w:b w:val="false"/>
          <w:bCs w:val="false"/>
        </w:rPr>
        <w:t>İrem Yıldırım “The theory of generic difference fields”, 2003, METU</w:t>
      </w:r>
    </w:p>
    <w:p>
      <w:pPr>
        <w:pStyle w:val="Normal"/>
        <w:rPr>
          <w:rFonts w:eastAsia="Times New Roman" w:cs="Times New Roman"/>
          <w:color w:val="auto"/>
          <w:sz w:val="20"/>
          <w:szCs w:val="20"/>
          <w:lang w:val="en-US" w:bidi="ar-SA"/>
        </w:rPr>
      </w:pPr>
      <w:r>
        <w:rPr>
          <w:rFonts w:eastAsia="Times New Roman" w:cs="Times New Roman"/>
          <w:color w:val="auto"/>
          <w:sz w:val="20"/>
          <w:szCs w:val="20"/>
          <w:lang w:val="en-US" w:bidi="ar-SA"/>
        </w:rPr>
      </w:r>
    </w:p>
    <w:sectPr>
      <w:footerReference w:type="default" r:id="rId4"/>
      <w:type w:val="nextPage"/>
      <w:pgSz w:w="12240" w:h="15840"/>
      <w:pgMar w:left="1417" w:right="1750" w:header="0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StarSymbol">
    <w:altName w:val="Arial Unicode MS"/>
    <w:charset w:val="01"/>
    <w:family w:val="auto"/>
    <w:pitch w:val="default"/>
  </w:font>
  <w:font w:name="Luxi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0" w:right="360" w:hanging="0"/>
      <w:rPr>
        <w:rFonts w:eastAsia="Times New Roman" w:cs="Times New Roman"/>
        <w:color w:val="auto"/>
        <w:sz w:val="20"/>
        <w:szCs w:val="20"/>
        <w:lang w:val="en-US" w:bidi="ar-SA"/>
      </w:rPr>
    </w:pPr>
    <w:r>
      <w:rPr>
        <w:rFonts w:eastAsia="Times New Roman" w:cs="Times New Roman"/>
        <w:color w:val="auto"/>
        <w:sz w:val="20"/>
        <w:szCs w:val="20"/>
        <w:lang w:val="en-US" w:bidi="ar-SA"/>
      </w:rPr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page">
                <wp:posOffset>6597015</wp:posOffset>
              </wp:positionH>
              <wp:positionV relativeFrom="paragraph">
                <wp:posOffset>635</wp:posOffset>
              </wp:positionV>
              <wp:extent cx="60960" cy="14033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403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9525" tIns="9525" rIns="9525" bIns="952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8pt;height:11.05pt;margin-top:0.05pt;mso-position-vertical-relative:text;margin-left:519.45pt;mso-position-horizontal-relative:page">
              <v:fill opacity="0f"/>
              <v:textbox inset="0.0104166666666667in,0.0104166666666667in,0.0104166666666667in,0.0104166666666667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  <w:rFonts w:cs="StarSymbol;Arial Unicode MS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  <w:rFonts w:cs="StarSymbol;Arial Unicode M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  <w:rFonts w:cs="StarSymbol;Arial Unicode MS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  <w:rFonts w:cs="StarSymbol;Arial Unicode M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  <w:rFonts w:cs="StarSymbol;Arial Unicode MS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  <w:rFonts w:cs="StarSymbol;Arial Unicode MS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fals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US" w:eastAsia="zxx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spacing w:before="0" w:after="0"/>
      <w:ind w:left="0" w:right="0" w:hanging="0"/>
      <w:outlineLvl w:val="0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860" w:leader="none"/>
      </w:tabs>
      <w:spacing w:before="0" w:after="0"/>
      <w:ind w:left="360" w:right="0" w:hanging="0"/>
      <w:outlineLvl w:val="1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0" w:right="0" w:hanging="0"/>
      <w:outlineLvl w:val="2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0" w:after="0"/>
      <w:ind w:left="-218" w:right="0" w:hanging="0"/>
      <w:outlineLvl w:val="3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0" w:after="0"/>
      <w:ind w:left="105" w:right="0" w:hanging="0"/>
      <w:outlineLvl w:val="4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0" w:after="0"/>
      <w:ind w:left="0" w:right="0" w:hanging="0"/>
      <w:outlineLvl w:val="5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3780" w:leader="none"/>
      </w:tabs>
      <w:spacing w:before="0" w:after="0"/>
      <w:ind w:left="0" w:right="0" w:hanging="0"/>
      <w:outlineLvl w:val="6"/>
      <w:outlineLvl w:val="6"/>
    </w:pPr>
    <w:rPr>
      <w:b/>
      <w:bCs/>
    </w:rPr>
  </w:style>
  <w:style w:type="character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styleId="WW8Num2z2">
    <w:name w:val="WW8Num2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3z0">
    <w:name w:val="WW8Num3z0"/>
    <w:qFormat/>
    <w:rPr>
      <w:b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9z0">
    <w:name w:val="WW8Num9z0"/>
    <w:qFormat/>
    <w:rPr>
      <w:b/>
    </w:rPr>
  </w:style>
  <w:style w:type="character" w:styleId="WW8Num11z1">
    <w:name w:val="WW8Num11z1"/>
    <w:qFormat/>
    <w:rPr>
      <w:b/>
    </w:rPr>
  </w:style>
  <w:style w:type="character" w:styleId="WW8Num13z0">
    <w:name w:val="WW8Num13z0"/>
    <w:qFormat/>
    <w:rPr>
      <w:b/>
    </w:rPr>
  </w:style>
  <w:style w:type="character" w:styleId="WW8Num15z0">
    <w:name w:val="WW8Num15z0"/>
    <w:qFormat/>
    <w:rPr>
      <w:b/>
    </w:rPr>
  </w:style>
  <w:style w:type="character" w:styleId="WW8Num16z0">
    <w:name w:val="WW8Num16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16z1">
    <w:name w:val="WW8Num16z1"/>
    <w:qFormat/>
    <w:rPr>
      <w:b/>
    </w:rPr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20z0">
    <w:name w:val="WW8Num20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22z0">
    <w:name w:val="WW8Num22z0"/>
    <w:qFormat/>
    <w:rPr>
      <w:b w:val="false"/>
    </w:rPr>
  </w:style>
  <w:style w:type="character" w:styleId="WW8Num23z1">
    <w:name w:val="WW8Num23z1"/>
    <w:qFormat/>
    <w:rPr>
      <w:b/>
    </w:rPr>
  </w:style>
  <w:style w:type="character" w:styleId="WW8Num29z0">
    <w:name w:val="WW8Num29z0"/>
    <w:qFormat/>
    <w:rPr>
      <w:b w:val="false"/>
      <w:sz w:val="24"/>
      <w:szCs w:val="24"/>
    </w:rPr>
  </w:style>
  <w:style w:type="character" w:styleId="WW8Num32z0">
    <w:name w:val="WW8Num32z0"/>
    <w:qFormat/>
    <w:rPr>
      <w:b/>
    </w:rPr>
  </w:style>
  <w:style w:type="character" w:styleId="WW8Num34z1">
    <w:name w:val="WW8Num34z1"/>
    <w:qFormat/>
    <w:rPr>
      <w:b/>
    </w:rPr>
  </w:style>
  <w:style w:type="character" w:styleId="WW8Num35z0">
    <w:name w:val="WW8Num35z0"/>
    <w:qFormat/>
    <w:rPr>
      <w:b w:val="false"/>
    </w:rPr>
  </w:style>
  <w:style w:type="character" w:styleId="WW8Num36z0">
    <w:name w:val="WW8Num36z0"/>
    <w:qFormat/>
    <w:rPr>
      <w:b/>
    </w:rPr>
  </w:style>
  <w:style w:type="character" w:styleId="WW8Num39z0">
    <w:name w:val="WW8Num39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40z0">
    <w:name w:val="WW8Num40z0"/>
    <w:qFormat/>
    <w:rPr>
      <w:b/>
    </w:rPr>
  </w:style>
  <w:style w:type="character" w:styleId="WW8Num43z0">
    <w:name w:val="WW8Num43z0"/>
    <w:qFormat/>
    <w:rPr>
      <w:b/>
    </w:rPr>
  </w:style>
  <w:style w:type="character" w:styleId="WW8Num44z0">
    <w:name w:val="WW8Num44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46z0">
    <w:name w:val="WW8Num46z0"/>
    <w:qFormat/>
    <w:rPr>
      <w:rFonts w:ascii="Times New Roman" w:hAnsi="Times New Roman" w:cs="Times New Roman"/>
      <w:b w:val="false"/>
    </w:rPr>
  </w:style>
  <w:style w:type="character" w:styleId="WW8Num47z0">
    <w:name w:val="WW8Num47z0"/>
    <w:qFormat/>
    <w:rPr>
      <w:b w:val="false"/>
      <w:sz w:val="24"/>
      <w:szCs w:val="24"/>
    </w:rPr>
  </w:style>
  <w:style w:type="character" w:styleId="WW8Num48z0">
    <w:name w:val="WW8Num48z0"/>
    <w:qFormat/>
    <w:rPr>
      <w:b/>
    </w:rPr>
  </w:style>
  <w:style w:type="character" w:styleId="WW8Num50z0">
    <w:name w:val="WW8Num50z0"/>
    <w:qFormat/>
    <w:rPr>
      <w:b w:val="false"/>
      <w:sz w:val="24"/>
      <w:szCs w:val="24"/>
    </w:rPr>
  </w:style>
  <w:style w:type="character" w:styleId="WW8Num50z1">
    <w:name w:val="WW8Num50z1"/>
    <w:qFormat/>
    <w:rPr>
      <w:b/>
    </w:rPr>
  </w:style>
  <w:style w:type="character" w:styleId="WW8Num51z0">
    <w:name w:val="WW8Num51z0"/>
    <w:qFormat/>
    <w:rPr>
      <w:b w:val="false"/>
    </w:rPr>
  </w:style>
  <w:style w:type="character" w:styleId="WW8Num52z0">
    <w:name w:val="WW8Num52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53z0">
    <w:name w:val="WW8Num53z0"/>
    <w:qFormat/>
    <w:rPr>
      <w:b/>
    </w:rPr>
  </w:style>
  <w:style w:type="character" w:styleId="WW8NumSt3z0">
    <w:name w:val="WW8NumSt3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WW8NumSt40z0">
    <w:name w:val="WW8NumSt40z0"/>
    <w:qFormat/>
    <w:rPr>
      <w:rFonts w:ascii="Times New Roman" w:hAnsi="Times New Roman" w:cs="Times New Roman"/>
      <w:b w:val="false"/>
      <w:i w:val="false"/>
      <w:sz w:val="24"/>
      <w:szCs w:val="24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uxi Sans" w:hAnsi="Luxi Sans" w:eastAsia="Luxi Sans" w:cs="Luxi Sans"/>
      <w:sz w:val="28"/>
      <w:szCs w:val="28"/>
    </w:rPr>
  </w:style>
  <w:style w:type="paragraph" w:styleId="TextBody">
    <w:name w:val="Body Text"/>
    <w:basedOn w:val="Normal"/>
    <w:pPr>
      <w:tabs>
        <w:tab w:val="left" w:pos="3780" w:leader="none"/>
      </w:tabs>
    </w:pPr>
    <w:rPr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TextBody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rxiv.org/abs/1104.5311" TargetMode="External"/><Relationship Id="rId3" Type="http://schemas.openxmlformats.org/officeDocument/2006/relationships/hyperlink" Target="http://mat.msgsu.edu.tr/~dpierce/Mathematics/Euclid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LibreOffice/5.1.6.2$Linux_x86 LibreOffice_project/10m0$Build-2</Application>
  <Pages>5</Pages>
  <Words>1220</Words>
  <Characters>7621</Characters>
  <CharactersWithSpaces>8836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2000-05-26T14:19:00Z</dcterms:created>
  <dc:creator>Ersan Akyildiz</dc:creator>
  <dc:description/>
  <dc:language>en-US</dc:language>
  <cp:lastModifiedBy/>
  <cp:lastPrinted>2010-08-23T14:53:00Z</cp:lastPrinted>
  <dcterms:modified xsi:type="dcterms:W3CDTF">2017-09-28T14:46:06Z</dcterms:modified>
  <cp:revision>18</cp:revision>
  <dc:subject/>
  <dc:title>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